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31F" w14:textId="77777777" w:rsidR="00B36BAA" w:rsidRDefault="00B36BAA" w:rsidP="00800599">
      <w:pPr>
        <w:pStyle w:val="Default"/>
        <w:jc w:val="center"/>
        <w:rPr>
          <w:b/>
          <w:bCs/>
          <w:sz w:val="28"/>
          <w:szCs w:val="28"/>
        </w:rPr>
      </w:pPr>
    </w:p>
    <w:p w14:paraId="6D78E8C8" w14:textId="642A040A" w:rsidR="00800599" w:rsidRPr="009A63F4" w:rsidRDefault="002D3E00" w:rsidP="0080059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2026 </w:t>
      </w:r>
      <w:r w:rsidR="00800599" w:rsidRPr="009A63F4">
        <w:rPr>
          <w:b/>
          <w:bCs/>
          <w:sz w:val="28"/>
          <w:szCs w:val="28"/>
        </w:rPr>
        <w:t>MNSPA SCHOLARSHIP PROGRAM - ANNUAL CONFERENCE</w:t>
      </w:r>
    </w:p>
    <w:p w14:paraId="22652D55" w14:textId="77777777" w:rsidR="009A63F4" w:rsidRPr="009A63F4" w:rsidRDefault="009A63F4" w:rsidP="009A63F4">
      <w:pPr>
        <w:pStyle w:val="Default"/>
        <w:jc w:val="center"/>
        <w:rPr>
          <w:b/>
          <w:bCs/>
          <w:sz w:val="18"/>
          <w:szCs w:val="18"/>
        </w:rPr>
      </w:pPr>
    </w:p>
    <w:p w14:paraId="03B1C1CD" w14:textId="77777777" w:rsidR="002D3E00" w:rsidRPr="002D3E00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  <w:r w:rsidRPr="002D3E00">
        <w:rPr>
          <w:b/>
          <w:bCs/>
          <w:color w:val="006699"/>
          <w:sz w:val="20"/>
          <w:szCs w:val="20"/>
        </w:rPr>
        <w:t>April 25–28, 2026</w:t>
      </w:r>
    </w:p>
    <w:p w14:paraId="5E92BBB4" w14:textId="5564814E" w:rsidR="009A63F4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  <w:r w:rsidRPr="002D3E00">
        <w:rPr>
          <w:b/>
          <w:bCs/>
          <w:color w:val="006699"/>
          <w:sz w:val="20"/>
          <w:szCs w:val="20"/>
        </w:rPr>
        <w:t>Baltimore Convention Center | 1 W Pratt St | Baltimore, MD</w:t>
      </w:r>
    </w:p>
    <w:p w14:paraId="39DFBD31" w14:textId="77777777" w:rsidR="002D3E00" w:rsidRPr="002D3E00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  <w:r w:rsidRPr="002D3E00">
        <w:rPr>
          <w:b/>
          <w:bCs/>
          <w:color w:val="006699"/>
          <w:sz w:val="20"/>
          <w:szCs w:val="20"/>
        </w:rPr>
        <w:t>HOTELS</w:t>
      </w:r>
    </w:p>
    <w:p w14:paraId="5769C283" w14:textId="77777777" w:rsidR="002D3E00" w:rsidRPr="002D3E00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  <w:r w:rsidRPr="002D3E00">
        <w:rPr>
          <w:b/>
          <w:bCs/>
          <w:color w:val="006699"/>
          <w:sz w:val="20"/>
          <w:szCs w:val="20"/>
        </w:rPr>
        <w:t>Hilton Baltimore Inner Harbor | 401 W Pratt St | $236/night + tax/fees (Headquarter Hotel)</w:t>
      </w:r>
    </w:p>
    <w:p w14:paraId="0F5800E5" w14:textId="77777777" w:rsidR="002D3E00" w:rsidRPr="002D3E00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  <w:r w:rsidRPr="002D3E00">
        <w:rPr>
          <w:b/>
          <w:bCs/>
          <w:color w:val="006699"/>
          <w:sz w:val="20"/>
          <w:szCs w:val="20"/>
        </w:rPr>
        <w:t>Hyatt Regency Baltimore Inner Harbor | 300 Light St | $199/night + tax/fees</w:t>
      </w:r>
    </w:p>
    <w:p w14:paraId="3E271AD9" w14:textId="77777777" w:rsidR="002D3E00" w:rsidRPr="002D3E00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  <w:r w:rsidRPr="002D3E00">
        <w:rPr>
          <w:b/>
          <w:bCs/>
          <w:color w:val="006699"/>
          <w:sz w:val="20"/>
          <w:szCs w:val="20"/>
        </w:rPr>
        <w:t>Marriott Baltimore Inner Harbor | 110 S Eutaw St | $219/night + tax/fees</w:t>
      </w:r>
    </w:p>
    <w:p w14:paraId="064C1273" w14:textId="7D3DBF82" w:rsidR="002D3E00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  <w:r w:rsidRPr="002D3E00">
        <w:rPr>
          <w:b/>
          <w:bCs/>
          <w:color w:val="006699"/>
          <w:sz w:val="20"/>
          <w:szCs w:val="20"/>
        </w:rPr>
        <w:t>Renaissance Baltimore Harborplace | 202 E Pratt St | $189/night + tax/fees</w:t>
      </w:r>
    </w:p>
    <w:p w14:paraId="171E49D2" w14:textId="77777777" w:rsidR="002D3E00" w:rsidRPr="00A3661E" w:rsidRDefault="002D3E00" w:rsidP="002D3E00">
      <w:pPr>
        <w:pStyle w:val="Default"/>
        <w:jc w:val="center"/>
        <w:rPr>
          <w:b/>
          <w:bCs/>
          <w:color w:val="006699"/>
          <w:sz w:val="20"/>
          <w:szCs w:val="20"/>
        </w:rPr>
      </w:pPr>
    </w:p>
    <w:p w14:paraId="01086AB9" w14:textId="77777777" w:rsidR="009A63F4" w:rsidRPr="009A63F4" w:rsidRDefault="009A63F4" w:rsidP="009A63F4">
      <w:pPr>
        <w:pStyle w:val="Default"/>
        <w:jc w:val="center"/>
        <w:rPr>
          <w:b/>
          <w:bCs/>
          <w:sz w:val="18"/>
          <w:szCs w:val="18"/>
        </w:rPr>
      </w:pPr>
    </w:p>
    <w:p w14:paraId="5E744343" w14:textId="45C288AF" w:rsidR="00800599" w:rsidRDefault="00800599" w:rsidP="009A63F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Objective:</w:t>
      </w:r>
    </w:p>
    <w:p w14:paraId="3AA81EE2" w14:textId="77777777" w:rsidR="009A63F4" w:rsidRPr="009A63F4" w:rsidRDefault="009A63F4" w:rsidP="009A63F4">
      <w:pPr>
        <w:pStyle w:val="Default"/>
        <w:rPr>
          <w:sz w:val="18"/>
          <w:szCs w:val="18"/>
        </w:rPr>
      </w:pPr>
    </w:p>
    <w:p w14:paraId="2D453E67" w14:textId="77777777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Support the sterile processing &amp; reprocessing professions. </w:t>
      </w:r>
    </w:p>
    <w:p w14:paraId="5477BFD2" w14:textId="77777777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Improve chapter recruitment and encourage retention. </w:t>
      </w:r>
    </w:p>
    <w:p w14:paraId="1106C34B" w14:textId="0C9BF6FE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Provide an opportunity for chapter members to attend </w:t>
      </w:r>
      <w:r w:rsidR="009A63F4">
        <w:rPr>
          <w:sz w:val="22"/>
          <w:szCs w:val="22"/>
        </w:rPr>
        <w:t xml:space="preserve">the annual </w:t>
      </w:r>
      <w:r>
        <w:rPr>
          <w:sz w:val="22"/>
          <w:szCs w:val="22"/>
        </w:rPr>
        <w:t xml:space="preserve">conference. </w:t>
      </w:r>
    </w:p>
    <w:p w14:paraId="159BB72A" w14:textId="77777777" w:rsidR="009A63F4" w:rsidRDefault="009A63F4" w:rsidP="00800599">
      <w:pPr>
        <w:pStyle w:val="Default"/>
        <w:rPr>
          <w:b/>
          <w:bCs/>
          <w:sz w:val="22"/>
          <w:szCs w:val="22"/>
        </w:rPr>
      </w:pPr>
    </w:p>
    <w:p w14:paraId="4B7ECC38" w14:textId="5EB59CAA" w:rsidR="00800599" w:rsidRDefault="00800599" w:rsidP="008005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Primary award criteria: </w:t>
      </w:r>
    </w:p>
    <w:p w14:paraId="78481A6B" w14:textId="77777777" w:rsidR="009A63F4" w:rsidRPr="009A63F4" w:rsidRDefault="009A63F4" w:rsidP="00800599">
      <w:pPr>
        <w:pStyle w:val="Default"/>
        <w:rPr>
          <w:sz w:val="18"/>
          <w:szCs w:val="18"/>
        </w:rPr>
      </w:pPr>
    </w:p>
    <w:p w14:paraId="5A6D4E1E" w14:textId="77777777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Chapter attendance. </w:t>
      </w:r>
    </w:p>
    <w:p w14:paraId="2E5AC392" w14:textId="42118377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Completion of application with reasons for wanting to attend the </w:t>
      </w:r>
      <w:r w:rsidR="002D3E00">
        <w:rPr>
          <w:sz w:val="22"/>
          <w:szCs w:val="22"/>
        </w:rPr>
        <w:t>MNSPA</w:t>
      </w:r>
      <w:r>
        <w:rPr>
          <w:sz w:val="22"/>
          <w:szCs w:val="22"/>
        </w:rPr>
        <w:t xml:space="preserve"> conference. </w:t>
      </w:r>
    </w:p>
    <w:p w14:paraId="6B0D7661" w14:textId="07AD368E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Volunteer to participate in </w:t>
      </w:r>
      <w:r w:rsidR="002D3E00">
        <w:rPr>
          <w:sz w:val="22"/>
          <w:szCs w:val="22"/>
        </w:rPr>
        <w:t>MNSPA</w:t>
      </w:r>
      <w:r>
        <w:rPr>
          <w:sz w:val="22"/>
          <w:szCs w:val="22"/>
        </w:rPr>
        <w:t xml:space="preserve"> chapter committee(s). </w:t>
      </w:r>
    </w:p>
    <w:p w14:paraId="329DF6F6" w14:textId="0BD70B61" w:rsidR="002D3E00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Letter of reference from leader </w:t>
      </w:r>
      <w:r w:rsidR="002D3E00">
        <w:rPr>
          <w:sz w:val="22"/>
          <w:szCs w:val="22"/>
        </w:rPr>
        <w:t xml:space="preserve">(Word Document) </w:t>
      </w:r>
      <w:r>
        <w:rPr>
          <w:sz w:val="22"/>
          <w:szCs w:val="22"/>
        </w:rPr>
        <w:t>that notes support for attending conference.</w:t>
      </w:r>
      <w:r w:rsidR="002D3E00">
        <w:rPr>
          <w:sz w:val="22"/>
          <w:szCs w:val="22"/>
        </w:rPr>
        <w:t xml:space="preserve"> </w:t>
      </w:r>
    </w:p>
    <w:p w14:paraId="20EB39CA" w14:textId="454F0C30" w:rsidR="009A63F4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Awarded based on point system and final </w:t>
      </w:r>
      <w:r w:rsidR="002D3E00">
        <w:rPr>
          <w:sz w:val="22"/>
          <w:szCs w:val="22"/>
        </w:rPr>
        <w:t xml:space="preserve">MNSPA </w:t>
      </w:r>
      <w:r>
        <w:rPr>
          <w:sz w:val="22"/>
          <w:szCs w:val="22"/>
        </w:rPr>
        <w:t xml:space="preserve">Board approval. </w:t>
      </w:r>
    </w:p>
    <w:p w14:paraId="63674234" w14:textId="77777777" w:rsidR="009A63F4" w:rsidRPr="009A63F4" w:rsidRDefault="009A63F4" w:rsidP="00800599">
      <w:pPr>
        <w:pStyle w:val="Default"/>
        <w:rPr>
          <w:sz w:val="18"/>
          <w:szCs w:val="18"/>
        </w:rPr>
      </w:pPr>
    </w:p>
    <w:p w14:paraId="6317EA2E" w14:textId="77777777" w:rsidR="009A63F4" w:rsidRDefault="00800599" w:rsidP="008005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Eligible applicant: </w:t>
      </w:r>
    </w:p>
    <w:p w14:paraId="5EF40DBC" w14:textId="5BA546B1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A63F4">
        <w:rPr>
          <w:sz w:val="22"/>
          <w:szCs w:val="22"/>
        </w:rPr>
        <w:t>Chapter</w:t>
      </w:r>
      <w:r>
        <w:rPr>
          <w:sz w:val="22"/>
          <w:szCs w:val="22"/>
        </w:rPr>
        <w:t xml:space="preserve"> member. Vendors are not eligible. </w:t>
      </w:r>
    </w:p>
    <w:p w14:paraId="46B77DA6" w14:textId="77777777" w:rsidR="009A63F4" w:rsidRDefault="009A63F4" w:rsidP="00800599">
      <w:pPr>
        <w:pStyle w:val="Default"/>
        <w:rPr>
          <w:b/>
          <w:bCs/>
          <w:sz w:val="22"/>
          <w:szCs w:val="22"/>
        </w:rPr>
      </w:pPr>
    </w:p>
    <w:p w14:paraId="53BFC61A" w14:textId="277FC32D" w:rsidR="00800599" w:rsidRDefault="00800599" w:rsidP="008005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Award restrictions: </w:t>
      </w:r>
    </w:p>
    <w:p w14:paraId="6B6F4E5E" w14:textId="77777777" w:rsidR="009A63F4" w:rsidRPr="009A63F4" w:rsidRDefault="009A63F4" w:rsidP="00800599">
      <w:pPr>
        <w:pStyle w:val="Default"/>
        <w:rPr>
          <w:sz w:val="18"/>
          <w:szCs w:val="18"/>
        </w:rPr>
      </w:pPr>
    </w:p>
    <w:p w14:paraId="7F1FC75B" w14:textId="77777777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Award not given two years in a row to same person. </w:t>
      </w:r>
    </w:p>
    <w:p w14:paraId="012FEE31" w14:textId="77777777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 case of a tie, chapter President will do a drawing of names for winner. </w:t>
      </w:r>
    </w:p>
    <w:p w14:paraId="26D1724B" w14:textId="3DABF008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Final approval for fund disbursement comes from the </w:t>
      </w:r>
      <w:r w:rsidR="002D3E00">
        <w:rPr>
          <w:sz w:val="22"/>
          <w:szCs w:val="22"/>
        </w:rPr>
        <w:t xml:space="preserve">MNSPA </w:t>
      </w:r>
      <w:r>
        <w:rPr>
          <w:sz w:val="22"/>
          <w:szCs w:val="22"/>
        </w:rPr>
        <w:t xml:space="preserve">board. </w:t>
      </w:r>
    </w:p>
    <w:p w14:paraId="50C01F7E" w14:textId="77777777" w:rsidR="009A63F4" w:rsidRDefault="009A63F4" w:rsidP="00800599">
      <w:pPr>
        <w:pStyle w:val="Default"/>
        <w:rPr>
          <w:b/>
          <w:bCs/>
          <w:sz w:val="22"/>
          <w:szCs w:val="22"/>
        </w:rPr>
      </w:pPr>
    </w:p>
    <w:p w14:paraId="4C1A6C55" w14:textId="68924006" w:rsidR="00800599" w:rsidRPr="002D3E00" w:rsidRDefault="00800599" w:rsidP="00800599">
      <w:pPr>
        <w:pStyle w:val="Default"/>
        <w:rPr>
          <w:b/>
          <w:bCs/>
          <w:sz w:val="22"/>
          <w:szCs w:val="22"/>
        </w:rPr>
      </w:pPr>
      <w:r w:rsidRPr="002D3E00">
        <w:rPr>
          <w:b/>
          <w:bCs/>
          <w:sz w:val="22"/>
          <w:szCs w:val="22"/>
        </w:rPr>
        <w:t>Fiscal considerations:</w:t>
      </w:r>
    </w:p>
    <w:p w14:paraId="4DAF062A" w14:textId="77777777" w:rsidR="009A63F4" w:rsidRPr="002D3E00" w:rsidRDefault="009A63F4" w:rsidP="00800599">
      <w:pPr>
        <w:pStyle w:val="Default"/>
        <w:rPr>
          <w:sz w:val="18"/>
          <w:szCs w:val="18"/>
        </w:rPr>
      </w:pPr>
    </w:p>
    <w:p w14:paraId="35C3A709" w14:textId="037A9CB6" w:rsidR="002D3E00" w:rsidRPr="002D3E00" w:rsidRDefault="00800599" w:rsidP="002D3E00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 w:rsidRPr="002D3E00">
        <w:rPr>
          <w:sz w:val="22"/>
          <w:szCs w:val="22"/>
        </w:rPr>
        <w:t xml:space="preserve">One scholarship awarded per year. </w:t>
      </w:r>
    </w:p>
    <w:p w14:paraId="4D4DB8A0" w14:textId="2153FBBB" w:rsidR="002D3E00" w:rsidRPr="002D3E00" w:rsidRDefault="002D3E00" w:rsidP="002D3E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2D3E00">
        <w:rPr>
          <w:sz w:val="22"/>
          <w:szCs w:val="22"/>
        </w:rPr>
        <w:t>Additional scholarships may be awarded at the discretion of the board, contingent upon available financial resources</w:t>
      </w:r>
      <w:r>
        <w:rPr>
          <w:sz w:val="22"/>
          <w:szCs w:val="22"/>
        </w:rPr>
        <w:t xml:space="preserve">. </w:t>
      </w:r>
    </w:p>
    <w:p w14:paraId="14E3CD9F" w14:textId="483278F7" w:rsidR="00800599" w:rsidRPr="002D3E00" w:rsidRDefault="002D3E00" w:rsidP="002D3E00">
      <w:pPr>
        <w:pStyle w:val="Default"/>
        <w:numPr>
          <w:ilvl w:val="0"/>
          <w:numId w:val="2"/>
        </w:numPr>
        <w:ind w:left="360"/>
        <w:rPr>
          <w:sz w:val="22"/>
          <w:szCs w:val="22"/>
        </w:rPr>
      </w:pPr>
      <w:r w:rsidRPr="002D3E00">
        <w:rPr>
          <w:sz w:val="22"/>
          <w:szCs w:val="22"/>
        </w:rPr>
        <w:t xml:space="preserve">The scholarship will cover up to $2,000.00 for eligible expenses, including registration, airfare, and standard room </w:t>
      </w:r>
      <w:r w:rsidRPr="002D3E00">
        <w:rPr>
          <w:sz w:val="22"/>
          <w:szCs w:val="22"/>
        </w:rPr>
        <w:t>accommodation</w:t>
      </w:r>
      <w:r w:rsidRPr="002D3E00">
        <w:rPr>
          <w:sz w:val="22"/>
          <w:szCs w:val="22"/>
        </w:rPr>
        <w:t>. Upgrades to travel or hotel rooms will not be reimbursed. All receipts must be submitted to the Treasurer for final reimbursement</w:t>
      </w:r>
      <w:r>
        <w:rPr>
          <w:sz w:val="22"/>
          <w:szCs w:val="22"/>
        </w:rPr>
        <w:t xml:space="preserve">. </w:t>
      </w:r>
    </w:p>
    <w:p w14:paraId="25674308" w14:textId="77777777" w:rsidR="009A63F4" w:rsidRDefault="009A63F4" w:rsidP="00800599">
      <w:pPr>
        <w:pStyle w:val="Default"/>
        <w:rPr>
          <w:b/>
          <w:bCs/>
          <w:sz w:val="22"/>
          <w:szCs w:val="22"/>
        </w:rPr>
      </w:pPr>
    </w:p>
    <w:p w14:paraId="6F03CE84" w14:textId="4E8C46E2" w:rsidR="00800599" w:rsidRDefault="00800599" w:rsidP="008005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 procedures: </w:t>
      </w:r>
    </w:p>
    <w:p w14:paraId="76882CD5" w14:textId="77777777" w:rsidR="009A63F4" w:rsidRPr="009A63F4" w:rsidRDefault="009A63F4" w:rsidP="00800599">
      <w:pPr>
        <w:pStyle w:val="Default"/>
        <w:rPr>
          <w:sz w:val="18"/>
          <w:szCs w:val="18"/>
        </w:rPr>
      </w:pPr>
    </w:p>
    <w:p w14:paraId="3BB72B3F" w14:textId="5FF814AC" w:rsidR="009A63F4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Application available on website. Applications due by October 31st, 20</w:t>
      </w:r>
      <w:r w:rsidR="00AA2D5C">
        <w:rPr>
          <w:sz w:val="22"/>
          <w:szCs w:val="22"/>
        </w:rPr>
        <w:t>2</w:t>
      </w:r>
      <w:r w:rsidR="002D3E00">
        <w:rPr>
          <w:sz w:val="22"/>
          <w:szCs w:val="22"/>
        </w:rPr>
        <w:t>5</w:t>
      </w:r>
      <w:r>
        <w:rPr>
          <w:sz w:val="22"/>
          <w:szCs w:val="22"/>
        </w:rPr>
        <w:t xml:space="preserve"> - submitted </w:t>
      </w:r>
    </w:p>
    <w:p w14:paraId="7AE7396F" w14:textId="29978031" w:rsidR="00800599" w:rsidRDefault="009A63F4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00599">
        <w:rPr>
          <w:sz w:val="22"/>
          <w:szCs w:val="22"/>
        </w:rPr>
        <w:t xml:space="preserve">online to chapter President and Secretary. </w:t>
      </w:r>
    </w:p>
    <w:p w14:paraId="1F2FF822" w14:textId="77777777" w:rsidR="009A63F4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• Letter of reference from leader that notes support for attendance at conference -</w:t>
      </w:r>
      <w:r w:rsidR="009A63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submitted to </w:t>
      </w:r>
    </w:p>
    <w:p w14:paraId="13A37742" w14:textId="4D43F6CD" w:rsidR="00800599" w:rsidRDefault="009A63F4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00599">
        <w:rPr>
          <w:sz w:val="22"/>
          <w:szCs w:val="22"/>
        </w:rPr>
        <w:t xml:space="preserve">chapter President  </w:t>
      </w:r>
      <w:r w:rsidR="002D3E00" w:rsidRPr="002D3E00">
        <w:rPr>
          <w:sz w:val="22"/>
          <w:szCs w:val="22"/>
        </w:rPr>
        <w:t xml:space="preserve">kayleigh.bolitho </w:t>
      </w:r>
      <w:hyperlink r:id="rId10" w:history="1">
        <w:r w:rsidR="002D3E00" w:rsidRPr="00524078">
          <w:rPr>
            <w:rStyle w:val="Hyperlink"/>
            <w:sz w:val="22"/>
            <w:szCs w:val="22"/>
          </w:rPr>
          <w:t>kayleigh.bolitho@parknicollet.com</w:t>
        </w:r>
      </w:hyperlink>
      <w:r w:rsidR="002D3E00">
        <w:rPr>
          <w:sz w:val="22"/>
          <w:szCs w:val="22"/>
        </w:rPr>
        <w:t xml:space="preserve"> </w:t>
      </w:r>
    </w:p>
    <w:p w14:paraId="3282C033" w14:textId="5640DBAC" w:rsidR="00800599" w:rsidRDefault="00800599" w:rsidP="002D3E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Decision made by December 1st, 20</w:t>
      </w:r>
      <w:r w:rsidR="00C8295E">
        <w:rPr>
          <w:sz w:val="22"/>
          <w:szCs w:val="22"/>
        </w:rPr>
        <w:t>2</w:t>
      </w:r>
      <w:r w:rsidR="002D3E00">
        <w:rPr>
          <w:sz w:val="22"/>
          <w:szCs w:val="22"/>
        </w:rPr>
        <w:t>5</w:t>
      </w:r>
      <w:r>
        <w:rPr>
          <w:sz w:val="22"/>
          <w:szCs w:val="22"/>
        </w:rPr>
        <w:t xml:space="preserve"> and announced </w:t>
      </w:r>
      <w:r w:rsidR="002D3E00">
        <w:rPr>
          <w:sz w:val="22"/>
          <w:szCs w:val="22"/>
        </w:rPr>
        <w:t xml:space="preserve">via e-mail. </w:t>
      </w:r>
    </w:p>
    <w:p w14:paraId="5D1426EA" w14:textId="77777777" w:rsidR="00800599" w:rsidRDefault="00800599" w:rsidP="008005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Winner will submit receipts for reimbursement. </w:t>
      </w:r>
    </w:p>
    <w:p w14:paraId="1A5D41AB" w14:textId="77777777" w:rsidR="009A63F4" w:rsidRDefault="009A63F4" w:rsidP="00800599">
      <w:pPr>
        <w:pStyle w:val="Default"/>
        <w:rPr>
          <w:b/>
          <w:bCs/>
          <w:sz w:val="22"/>
          <w:szCs w:val="22"/>
        </w:rPr>
      </w:pPr>
    </w:p>
    <w:p w14:paraId="3845986A" w14:textId="77777777" w:rsidR="009A63F4" w:rsidRDefault="009A63F4" w:rsidP="009A63F4">
      <w:pPr>
        <w:pStyle w:val="Default"/>
        <w:rPr>
          <w:b/>
          <w:bCs/>
          <w:sz w:val="22"/>
          <w:szCs w:val="22"/>
        </w:rPr>
      </w:pPr>
    </w:p>
    <w:sectPr w:rsidR="009A63F4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9B57" w14:textId="77777777" w:rsidR="00B97D6E" w:rsidRDefault="00B97D6E" w:rsidP="00C9526D">
      <w:pPr>
        <w:spacing w:after="0" w:line="240" w:lineRule="auto"/>
      </w:pPr>
      <w:r>
        <w:separator/>
      </w:r>
    </w:p>
  </w:endnote>
  <w:endnote w:type="continuationSeparator" w:id="0">
    <w:p w14:paraId="7E9EA227" w14:textId="77777777" w:rsidR="00B97D6E" w:rsidRDefault="00B97D6E" w:rsidP="00C9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2584" w14:textId="12494094" w:rsidR="002D3E00" w:rsidRDefault="002D3E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F1FF8" wp14:editId="0E829D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39455647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9FE5D" w14:textId="2F50170B" w:rsidR="002D3E00" w:rsidRPr="002D3E00" w:rsidRDefault="002D3E00" w:rsidP="002D3E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E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F1F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A69FE5D" w14:textId="2F50170B" w:rsidR="002D3E00" w:rsidRPr="002D3E00" w:rsidRDefault="002D3E00" w:rsidP="002D3E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E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527D" w14:textId="7DB91670" w:rsidR="002D3E00" w:rsidRDefault="002D3E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9EB79B" wp14:editId="0EDE2994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152101119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BBE95" w14:textId="2D9B1BC4" w:rsidR="002D3E00" w:rsidRPr="002D3E00" w:rsidRDefault="002D3E00" w:rsidP="002D3E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E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EB7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00BBE95" w14:textId="2D9B1BC4" w:rsidR="002D3E00" w:rsidRPr="002D3E00" w:rsidRDefault="002D3E00" w:rsidP="002D3E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E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0E62" w14:textId="7BC1150D" w:rsidR="002D3E00" w:rsidRDefault="002D3E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51974C" wp14:editId="6D5653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116179727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7605A" w14:textId="14D849DE" w:rsidR="002D3E00" w:rsidRPr="002D3E00" w:rsidRDefault="002D3E00" w:rsidP="002D3E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E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19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D17605A" w14:textId="14D849DE" w:rsidR="002D3E00" w:rsidRPr="002D3E00" w:rsidRDefault="002D3E00" w:rsidP="002D3E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E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674C" w14:textId="77777777" w:rsidR="00B97D6E" w:rsidRDefault="00B97D6E" w:rsidP="00C9526D">
      <w:pPr>
        <w:spacing w:after="0" w:line="240" w:lineRule="auto"/>
      </w:pPr>
      <w:r>
        <w:separator/>
      </w:r>
    </w:p>
  </w:footnote>
  <w:footnote w:type="continuationSeparator" w:id="0">
    <w:p w14:paraId="5C0A3FDE" w14:textId="77777777" w:rsidR="00B97D6E" w:rsidRDefault="00B97D6E" w:rsidP="00C9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AEC6" w14:textId="5A440147" w:rsidR="00C9526D" w:rsidRDefault="00C9526D">
    <w:pPr>
      <w:pStyle w:val="Header"/>
    </w:pPr>
    <w:r>
      <w:rPr>
        <w:noProof/>
      </w:rPr>
      <w:drawing>
        <wp:inline distT="0" distB="0" distL="0" distR="0" wp14:anchorId="22A14716" wp14:editId="1149728B">
          <wp:extent cx="717535" cy="444972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3" cy="45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9282F">
      <w:t xml:space="preserve">   </w:t>
    </w:r>
    <w:r w:rsidR="00A3661E">
      <w:t xml:space="preserve">                                  </w:t>
    </w:r>
    <w:r w:rsidR="0009282F">
      <w:t xml:space="preserve"> </w:t>
    </w:r>
    <w:r w:rsidR="00A3661E">
      <w:rPr>
        <w:noProof/>
      </w:rPr>
      <w:drawing>
        <wp:inline distT="0" distB="0" distL="0" distR="0" wp14:anchorId="3AF0A3C8" wp14:editId="7A3C2773">
          <wp:extent cx="1675130" cy="631289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131" cy="637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A1E"/>
    <w:multiLevelType w:val="hybridMultilevel"/>
    <w:tmpl w:val="0CF432BA"/>
    <w:lvl w:ilvl="0" w:tplc="EBEA37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D37C6"/>
    <w:multiLevelType w:val="hybridMultilevel"/>
    <w:tmpl w:val="D994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88475">
    <w:abstractNumId w:val="1"/>
  </w:num>
  <w:num w:numId="2" w16cid:durableId="17907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99"/>
    <w:rsid w:val="0009282F"/>
    <w:rsid w:val="002D3E00"/>
    <w:rsid w:val="00800599"/>
    <w:rsid w:val="008A6549"/>
    <w:rsid w:val="009A63F4"/>
    <w:rsid w:val="00A3661E"/>
    <w:rsid w:val="00AA2D5C"/>
    <w:rsid w:val="00AD14ED"/>
    <w:rsid w:val="00B36BAA"/>
    <w:rsid w:val="00B97D6E"/>
    <w:rsid w:val="00C8295E"/>
    <w:rsid w:val="00C9526D"/>
    <w:rsid w:val="00E4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C119"/>
  <w15:chartTrackingRefBased/>
  <w15:docId w15:val="{0F588103-98B0-4674-B77D-934367A3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05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26D"/>
  </w:style>
  <w:style w:type="paragraph" w:styleId="Footer">
    <w:name w:val="footer"/>
    <w:basedOn w:val="Normal"/>
    <w:link w:val="FooterChar"/>
    <w:uiPriority w:val="99"/>
    <w:unhideWhenUsed/>
    <w:rsid w:val="00C9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26D"/>
  </w:style>
  <w:style w:type="character" w:styleId="Hyperlink">
    <w:name w:val="Hyperlink"/>
    <w:basedOn w:val="DefaultParagraphFont"/>
    <w:uiPriority w:val="99"/>
    <w:unhideWhenUsed/>
    <w:rsid w:val="002D3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yleigh.bolitho@parknicolle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7774996C09C47BF1727FE5EE14E84" ma:contentTypeVersion="4" ma:contentTypeDescription="Create a new document." ma:contentTypeScope="" ma:versionID="2eed5740b15626666c81b100574ba918">
  <xsd:schema xmlns:xsd="http://www.w3.org/2001/XMLSchema" xmlns:xs="http://www.w3.org/2001/XMLSchema" xmlns:p="http://schemas.microsoft.com/office/2006/metadata/properties" xmlns:ns2="7db97e03-a107-4ae1-b0ab-709bb6b0371f" targetNamespace="http://schemas.microsoft.com/office/2006/metadata/properties" ma:root="true" ma:fieldsID="b07b55e6c556fb6eff2b171e6c6210f8" ns2:_="">
    <xsd:import namespace="7db97e03-a107-4ae1-b0ab-709bb6b03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7e03-a107-4ae1-b0ab-709bb6b03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6B8FA-2923-4A0F-B1E0-727A6E378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82E8A-4184-4789-8A47-9E3733FF6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E4395-115C-4388-BF73-812D837C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97e03-a107-4ae1-b0ab-709bb6b03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1119c0-5c41-4899-bacb-d4a8ade03a2e}" enabled="1" method="Standard" siteId="{c69834d0-4147-4777-891d-a7dcdee2d56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Ferrer, Lori L</dc:creator>
  <cp:keywords/>
  <dc:description/>
  <cp:lastModifiedBy>Thell, Matthew</cp:lastModifiedBy>
  <cp:revision>2</cp:revision>
  <dcterms:created xsi:type="dcterms:W3CDTF">2025-07-31T19:51:00Z</dcterms:created>
  <dcterms:modified xsi:type="dcterms:W3CDTF">2025-07-31T19:51:00Z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0x0101005B97774996C09C47BF1727FE5EE14E84</vt:lpwstr>
  </property>
  <property fmtid="{D5CDD505-2E9C-101B-9397-08002B2CF9AE}" pid="3" name="ClassificationContentMarkingFooterShapeIds">
    <vt:lpwstr>453f9e9f,1784743e,5aa8c9fe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